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68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Praca kontrolna</w:t>
      </w:r>
    </w:p>
    <w:p w:rsidR="000D02A2" w:rsidRPr="000D02A2" w:rsidRDefault="00303068" w:rsidP="000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Przedmiot: </w:t>
      </w:r>
      <w:r w:rsidR="000D02A2" w:rsidRPr="000D02A2">
        <w:rPr>
          <w:rFonts w:ascii="Times New Roman" w:hAnsi="Times New Roman" w:cs="Times New Roman"/>
          <w:b/>
          <w:bCs/>
          <w:sz w:val="28"/>
          <w:szCs w:val="28"/>
        </w:rPr>
        <w:t>Przedmiot: postępowanie administracyjne/ postępowanie w administracji</w:t>
      </w:r>
    </w:p>
    <w:p w:rsidR="00303068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Kierunek: </w:t>
      </w:r>
      <w:r w:rsidR="00412C58">
        <w:rPr>
          <w:rFonts w:ascii="Times New Roman" w:hAnsi="Times New Roman" w:cs="Times New Roman"/>
          <w:b/>
          <w:bCs/>
          <w:sz w:val="28"/>
          <w:szCs w:val="28"/>
        </w:rPr>
        <w:t>technik administracji semestr 2/semestr 4</w:t>
      </w:r>
    </w:p>
    <w:p w:rsidR="00303068" w:rsidRDefault="00412C5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Rok szkolny: 2019/2020</w:t>
      </w:r>
    </w:p>
    <w:p w:rsidR="008B5AF5" w:rsidRDefault="008B5AF5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5AF5" w:rsidRDefault="008B5AF5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Poniższy test jest testem jednokrotnego wyboru ( jedna odpowiedź poprawna)</w:t>
      </w:r>
      <w:r w:rsidR="009B1019">
        <w:rPr>
          <w:rFonts w:ascii="Times New Roman" w:hAnsi="Times New Roman" w:cs="Times New Roman"/>
          <w:b/>
          <w:bCs/>
          <w:sz w:val="28"/>
          <w:szCs w:val="28"/>
        </w:rPr>
        <w:t xml:space="preserve">  z działu </w:t>
      </w:r>
      <w:r w:rsidR="004822D5">
        <w:rPr>
          <w:rFonts w:ascii="Times New Roman" w:hAnsi="Times New Roman" w:cs="Times New Roman"/>
          <w:b/>
          <w:bCs/>
          <w:sz w:val="28"/>
          <w:szCs w:val="28"/>
        </w:rPr>
        <w:t>organizacja pracy w biurze oraz r</w:t>
      </w:r>
      <w:r w:rsidR="004822D5" w:rsidRPr="004822D5">
        <w:rPr>
          <w:rFonts w:ascii="Times New Roman" w:hAnsi="Times New Roman" w:cs="Times New Roman"/>
          <w:b/>
          <w:bCs/>
          <w:sz w:val="28"/>
          <w:szCs w:val="28"/>
        </w:rPr>
        <w:t>edagowanie pism urzędowych</w:t>
      </w:r>
      <w:r>
        <w:rPr>
          <w:rFonts w:ascii="Times New Roman" w:hAnsi="Times New Roman" w:cs="Times New Roman"/>
          <w:b/>
          <w:bCs/>
          <w:sz w:val="28"/>
          <w:szCs w:val="28"/>
        </w:rPr>
        <w:t>. Proszę nanieść odpowiedzi na kartę odpowiedzi, właściwą zaznaczając X. Powodzenia</w:t>
      </w:r>
    </w:p>
    <w:p w:rsidR="00412C58" w:rsidRDefault="00412C5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Wypełniony test proszę odesłać na adres </w:t>
      </w:r>
      <w:hyperlink r:id="rId5" w:history="1">
        <w:r w:rsidR="00335386" w:rsidRPr="00514AE0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follendorf@o2.pl</w:t>
        </w:r>
      </w:hyperlink>
      <w:r w:rsidR="00335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7759ED" w:rsidRDefault="007759ED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59ED">
        <w:rPr>
          <w:rFonts w:ascii="Times New Roman" w:hAnsi="Times New Roman" w:cs="Times New Roman"/>
          <w:b/>
          <w:bCs/>
          <w:sz w:val="28"/>
          <w:szCs w:val="28"/>
        </w:rPr>
        <w:t>Podpisz imieniem i nazwiskiem kartę odpowiedzi</w:t>
      </w:r>
    </w:p>
    <w:tbl>
      <w:tblPr>
        <w:tblpPr w:leftFromText="141" w:rightFromText="141" w:vertAnchor="page" w:horzAnchor="margin" w:tblpY="405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1017"/>
        <w:gridCol w:w="2012"/>
        <w:gridCol w:w="1658"/>
        <w:gridCol w:w="2630"/>
      </w:tblGrid>
      <w:tr w:rsidR="00252AF2" w:rsidRPr="008408D3" w:rsidTr="00252AF2">
        <w:trPr>
          <w:trHeight w:val="285"/>
        </w:trPr>
        <w:tc>
          <w:tcPr>
            <w:tcW w:w="10485" w:type="dxa"/>
            <w:gridSpan w:val="5"/>
            <w:vAlign w:val="center"/>
          </w:tcPr>
          <w:p w:rsidR="00252AF2" w:rsidRPr="000203CC" w:rsidRDefault="00252AF2" w:rsidP="00252AF2">
            <w:pPr>
              <w:jc w:val="center"/>
              <w:rPr>
                <w:b/>
                <w:bCs/>
                <w:sz w:val="28"/>
                <w:szCs w:val="28"/>
              </w:rPr>
            </w:pPr>
            <w:r w:rsidRPr="000203CC">
              <w:rPr>
                <w:b/>
                <w:bCs/>
                <w:sz w:val="28"/>
                <w:szCs w:val="28"/>
              </w:rPr>
              <w:t>KARTA ODPOWIEDZI</w:t>
            </w:r>
          </w:p>
        </w:tc>
      </w:tr>
      <w:tr w:rsidR="00252AF2" w:rsidRPr="008408D3" w:rsidTr="00252AF2">
        <w:trPr>
          <w:trHeight w:val="285"/>
        </w:trPr>
        <w:tc>
          <w:tcPr>
            <w:tcW w:w="3168" w:type="dxa"/>
            <w:vMerge w:val="restart"/>
            <w:vAlign w:val="center"/>
          </w:tcPr>
          <w:p w:rsidR="00252AF2" w:rsidRPr="008408D3" w:rsidRDefault="00252AF2" w:rsidP="00252AF2">
            <w:pPr>
              <w:rPr>
                <w:bCs/>
                <w:sz w:val="16"/>
                <w:szCs w:val="16"/>
              </w:rPr>
            </w:pPr>
          </w:p>
          <w:p w:rsidR="00252AF2" w:rsidRPr="008408D3" w:rsidRDefault="00252AF2" w:rsidP="00252AF2">
            <w:pPr>
              <w:rPr>
                <w:bCs/>
                <w:sz w:val="16"/>
                <w:szCs w:val="16"/>
              </w:rPr>
            </w:pPr>
          </w:p>
          <w:p w:rsidR="00252AF2" w:rsidRPr="008408D3" w:rsidRDefault="00252AF2" w:rsidP="00252A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vAlign w:val="center"/>
          </w:tcPr>
          <w:p w:rsidR="00252AF2" w:rsidRPr="008408D3" w:rsidRDefault="00252AF2" w:rsidP="00252AF2">
            <w:pPr>
              <w:jc w:val="center"/>
              <w:rPr>
                <w:bCs/>
                <w:sz w:val="16"/>
                <w:szCs w:val="16"/>
              </w:rPr>
            </w:pPr>
            <w:r w:rsidRPr="008408D3">
              <w:rPr>
                <w:bCs/>
                <w:sz w:val="16"/>
                <w:szCs w:val="16"/>
              </w:rPr>
              <w:t>Skala ocen</w:t>
            </w:r>
          </w:p>
        </w:tc>
        <w:tc>
          <w:tcPr>
            <w:tcW w:w="1658" w:type="dxa"/>
            <w:vAlign w:val="center"/>
          </w:tcPr>
          <w:p w:rsidR="00252AF2" w:rsidRPr="008408D3" w:rsidRDefault="00252AF2" w:rsidP="00252AF2">
            <w:pPr>
              <w:jc w:val="center"/>
              <w:rPr>
                <w:bCs/>
                <w:sz w:val="16"/>
                <w:szCs w:val="16"/>
              </w:rPr>
            </w:pPr>
            <w:r w:rsidRPr="008408D3">
              <w:rPr>
                <w:bCs/>
                <w:sz w:val="16"/>
                <w:szCs w:val="16"/>
              </w:rPr>
              <w:t>Liczba punktów</w:t>
            </w:r>
          </w:p>
        </w:tc>
        <w:tc>
          <w:tcPr>
            <w:tcW w:w="2630" w:type="dxa"/>
            <w:vAlign w:val="center"/>
          </w:tcPr>
          <w:p w:rsidR="00252AF2" w:rsidRPr="008408D3" w:rsidRDefault="00252AF2" w:rsidP="00252AF2">
            <w:pPr>
              <w:jc w:val="center"/>
              <w:rPr>
                <w:bCs/>
                <w:sz w:val="16"/>
                <w:szCs w:val="16"/>
              </w:rPr>
            </w:pPr>
            <w:r w:rsidRPr="008408D3">
              <w:rPr>
                <w:bCs/>
                <w:sz w:val="16"/>
                <w:szCs w:val="16"/>
              </w:rPr>
              <w:t>ocena</w:t>
            </w:r>
          </w:p>
        </w:tc>
      </w:tr>
      <w:tr w:rsidR="00252AF2" w:rsidRPr="008408D3" w:rsidTr="00252AF2">
        <w:trPr>
          <w:trHeight w:val="450"/>
        </w:trPr>
        <w:tc>
          <w:tcPr>
            <w:tcW w:w="3168" w:type="dxa"/>
            <w:vMerge/>
            <w:tcBorders>
              <w:bottom w:val="dashed" w:sz="4" w:space="0" w:color="auto"/>
            </w:tcBorders>
            <w:vAlign w:val="center"/>
          </w:tcPr>
          <w:p w:rsidR="00252AF2" w:rsidRPr="008408D3" w:rsidRDefault="00252AF2" w:rsidP="00252AF2">
            <w:pPr>
              <w:rPr>
                <w:bCs/>
              </w:rPr>
            </w:pPr>
          </w:p>
        </w:tc>
        <w:tc>
          <w:tcPr>
            <w:tcW w:w="1017" w:type="dxa"/>
            <w:vMerge w:val="restart"/>
            <w:tcBorders>
              <w:right w:val="nil"/>
            </w:tcBorders>
          </w:tcPr>
          <w:p w:rsidR="00252AF2" w:rsidRPr="008408D3" w:rsidRDefault="004822D5" w:rsidP="00252A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35-40</w:t>
            </w:r>
          </w:p>
          <w:p w:rsidR="00252AF2" w:rsidRPr="008408D3" w:rsidRDefault="004822D5" w:rsidP="00252A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29-34</w:t>
            </w:r>
            <w:r w:rsidR="00252AF2" w:rsidRPr="008408D3">
              <w:rPr>
                <w:bCs/>
                <w:sz w:val="16"/>
                <w:szCs w:val="16"/>
              </w:rPr>
              <w:t xml:space="preserve"> </w:t>
            </w:r>
          </w:p>
          <w:p w:rsidR="00252AF2" w:rsidRPr="008408D3" w:rsidRDefault="004822D5" w:rsidP="00252A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23 -28</w:t>
            </w:r>
          </w:p>
          <w:p w:rsidR="00252AF2" w:rsidRPr="008408D3" w:rsidRDefault="004822D5" w:rsidP="00252A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16-22</w:t>
            </w:r>
          </w:p>
          <w:p w:rsidR="00252AF2" w:rsidRPr="008408D3" w:rsidRDefault="00252AF2" w:rsidP="00252AF2">
            <w:pPr>
              <w:rPr>
                <w:bCs/>
              </w:rPr>
            </w:pPr>
            <w:r w:rsidRPr="008408D3">
              <w:rPr>
                <w:bCs/>
                <w:sz w:val="16"/>
                <w:szCs w:val="16"/>
              </w:rPr>
              <w:t>&lt;1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012" w:type="dxa"/>
            <w:vMerge w:val="restart"/>
            <w:tcBorders>
              <w:left w:val="nil"/>
            </w:tcBorders>
          </w:tcPr>
          <w:p w:rsidR="00252AF2" w:rsidRPr="008408D3" w:rsidRDefault="00252AF2" w:rsidP="00252AF2">
            <w:pPr>
              <w:rPr>
                <w:bCs/>
              </w:rPr>
            </w:pPr>
            <w:r w:rsidRPr="008408D3">
              <w:rPr>
                <w:bCs/>
                <w:sz w:val="16"/>
                <w:szCs w:val="16"/>
              </w:rPr>
              <w:t>Bardzo dobry</w:t>
            </w:r>
          </w:p>
          <w:p w:rsidR="00252AF2" w:rsidRPr="008408D3" w:rsidRDefault="00252AF2" w:rsidP="00252AF2">
            <w:pPr>
              <w:rPr>
                <w:bCs/>
              </w:rPr>
            </w:pPr>
            <w:r w:rsidRPr="008408D3">
              <w:rPr>
                <w:bCs/>
                <w:sz w:val="16"/>
                <w:szCs w:val="16"/>
              </w:rPr>
              <w:t>Dobry</w:t>
            </w:r>
          </w:p>
          <w:p w:rsidR="00252AF2" w:rsidRPr="008408D3" w:rsidRDefault="00252AF2" w:rsidP="00252AF2">
            <w:pPr>
              <w:rPr>
                <w:bCs/>
                <w:sz w:val="16"/>
                <w:szCs w:val="16"/>
              </w:rPr>
            </w:pPr>
            <w:r w:rsidRPr="008408D3">
              <w:rPr>
                <w:bCs/>
                <w:sz w:val="16"/>
                <w:szCs w:val="16"/>
              </w:rPr>
              <w:t>Dostateczny</w:t>
            </w:r>
          </w:p>
          <w:p w:rsidR="00252AF2" w:rsidRPr="008408D3" w:rsidRDefault="00252AF2" w:rsidP="00252AF2">
            <w:pPr>
              <w:rPr>
                <w:bCs/>
              </w:rPr>
            </w:pPr>
            <w:r w:rsidRPr="008408D3">
              <w:rPr>
                <w:bCs/>
                <w:sz w:val="16"/>
                <w:szCs w:val="16"/>
              </w:rPr>
              <w:t>Dopuszczający</w:t>
            </w:r>
          </w:p>
          <w:p w:rsidR="00252AF2" w:rsidRPr="008408D3" w:rsidRDefault="00252AF2" w:rsidP="00252AF2">
            <w:pPr>
              <w:rPr>
                <w:bCs/>
              </w:rPr>
            </w:pPr>
            <w:r w:rsidRPr="008408D3">
              <w:rPr>
                <w:bCs/>
                <w:sz w:val="16"/>
                <w:szCs w:val="16"/>
              </w:rPr>
              <w:t>niedostateczny</w:t>
            </w:r>
          </w:p>
        </w:tc>
        <w:tc>
          <w:tcPr>
            <w:tcW w:w="1658" w:type="dxa"/>
            <w:vMerge w:val="restart"/>
            <w:vAlign w:val="center"/>
          </w:tcPr>
          <w:p w:rsidR="00252AF2" w:rsidRPr="008408D3" w:rsidRDefault="00252AF2" w:rsidP="00252A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252AF2" w:rsidRPr="008408D3" w:rsidRDefault="00252AF2" w:rsidP="00252AF2">
            <w:pPr>
              <w:rPr>
                <w:bCs/>
                <w:sz w:val="16"/>
                <w:szCs w:val="16"/>
              </w:rPr>
            </w:pPr>
          </w:p>
        </w:tc>
      </w:tr>
      <w:tr w:rsidR="00252AF2" w:rsidRPr="008408D3" w:rsidTr="00252AF2">
        <w:trPr>
          <w:trHeight w:val="970"/>
        </w:trPr>
        <w:tc>
          <w:tcPr>
            <w:tcW w:w="31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2AF2" w:rsidRPr="008408D3" w:rsidRDefault="00252AF2" w:rsidP="00252AF2">
            <w:pPr>
              <w:jc w:val="center"/>
              <w:rPr>
                <w:bCs/>
                <w:sz w:val="16"/>
                <w:szCs w:val="16"/>
              </w:rPr>
            </w:pPr>
            <w:r w:rsidRPr="008408D3">
              <w:rPr>
                <w:bCs/>
                <w:sz w:val="16"/>
                <w:szCs w:val="16"/>
              </w:rPr>
              <w:t>IMIĘ i NAZWISKO SŁUCHACZA</w:t>
            </w:r>
          </w:p>
        </w:tc>
        <w:tc>
          <w:tcPr>
            <w:tcW w:w="1017" w:type="dxa"/>
            <w:vMerge/>
            <w:tcBorders>
              <w:right w:val="nil"/>
            </w:tcBorders>
            <w:vAlign w:val="center"/>
          </w:tcPr>
          <w:p w:rsidR="00252AF2" w:rsidRPr="008408D3" w:rsidRDefault="00252AF2" w:rsidP="00252AF2">
            <w:pPr>
              <w:rPr>
                <w:bCs/>
              </w:rPr>
            </w:pPr>
          </w:p>
        </w:tc>
        <w:tc>
          <w:tcPr>
            <w:tcW w:w="2012" w:type="dxa"/>
            <w:vMerge/>
            <w:tcBorders>
              <w:left w:val="nil"/>
            </w:tcBorders>
            <w:vAlign w:val="center"/>
          </w:tcPr>
          <w:p w:rsidR="00252AF2" w:rsidRPr="008408D3" w:rsidRDefault="00252AF2" w:rsidP="00252AF2">
            <w:pPr>
              <w:rPr>
                <w:bCs/>
              </w:rPr>
            </w:pPr>
          </w:p>
        </w:tc>
        <w:tc>
          <w:tcPr>
            <w:tcW w:w="1658" w:type="dxa"/>
            <w:vMerge/>
            <w:vAlign w:val="center"/>
          </w:tcPr>
          <w:p w:rsidR="00252AF2" w:rsidRPr="008408D3" w:rsidRDefault="00252AF2" w:rsidP="00252A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0" w:type="dxa"/>
            <w:vMerge/>
            <w:vAlign w:val="center"/>
          </w:tcPr>
          <w:p w:rsidR="00252AF2" w:rsidRPr="008408D3" w:rsidRDefault="00252AF2" w:rsidP="00252AF2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B5AF5" w:rsidRPr="008B5AF5" w:rsidTr="00457807">
        <w:trPr>
          <w:cantSplit/>
          <w:trHeight w:val="40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B5AF5" w:rsidRPr="008B5AF5" w:rsidTr="00457807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B5AF5" w:rsidRPr="008B5AF5" w:rsidTr="00457807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B5AF5" w:rsidRPr="008B5AF5" w:rsidTr="00457807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B5AF5" w:rsidRPr="008B5AF5" w:rsidTr="00457807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B5AF5" w:rsidRPr="008B5AF5" w:rsidTr="00457807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303068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1. W ciągu, ilu dni należy złożyć wniosek o wznowienie postępowania administracyjnego: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w ciągu 7 dni od ustania przyczyny uniemożliwiającej dochowania terminu,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w ciągu 14 dni od ustania przyczyny uniemożliwiającej dochowania terminu,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w ciągu 30 dni,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w ciągu 21 dni.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2. Cechą charakterystyczną odwołania jest to, że: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wymaga szczegółowego uzasadnienia, ale jest szybko i pozytywnie rozpatrywane,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nie wymaga szczegółowego uzasadnienia, a wnosi się je za pośrednictwem organu,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który wydał decyzję do organu odwoławczego, czyli do organu wyższego stopnia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w ciągu 14 dni od dnia doręczenia decyzji stronie,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zostaje załatwione zawsze pozytywnie,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nigdy nie jest rozpatrywane.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3. Co to jest zażalenie?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jest środkiem prawnym wykorzystywanym przez stronę postępowania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administracyjnego wtedy, gdy nie zgadza się ona z postępowaniem wydanym przez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lastRenderedPageBreak/>
        <w:t>organ administracji publicznej.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jest to zaskarżenie organu administracji,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jest to wyegzekwowanie określonej postępowania wobec innych osób,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jest to niesprawiedliwie określona decyzja administracyjna, od której musimy się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odwołać.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4. Podanie o wznowienie postępowania wnosi się do organu administracji publicznej, który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wydał decyzje w sprawie w pierwszej instancji w terminie: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1 tygodnia,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2 tygodni,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3 miesięcy,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1 miesiąca.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5. Etap wstępny postępowania o wznowienie postępowania obejmuje: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czynności zażaleniowe,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nie ma takiego etapu,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czynności sprawdzające dopuszczalność wszczęcia postępowania,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czynności rozstrzygające.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6. Jakie środki odwoławcze postępowania administracyjnego wymieniają przepisy kodeksu?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odwołanie, zażalenie, wniosek o wznowienie postępowania,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odwołanie, uchylenie, zażalenie,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zażalenie , wniosek o wznowienie postępowania, skarga,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odwołanie, zażalenie, skarga.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7. W jakim czasie wnosi się odwołanie od dnia doręczenia stronie decyzji?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3 dni,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7 dni,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14 dni,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1 miesiąc.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8. Wniosek o wznowienie postępowania jest: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zwykłym środkiem odwoławczym,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wnioskiem, który może wnieść tylko strona,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wniosek, który może być wniesione tylko z urzędu,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nadzwyczajnym środkiem odwoławczym, wniosek ten zmierza do podjęcia na nowo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postępowania, które zostało zakończone wydaniem ostatecznej decyzji.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9. W jakim celu wszczyna się postępowanie nadzwyczajne?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wszczyna się postępowanie nadzwyczajne, które zostało zaskarżone,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wszczyna się postępowanie w celu wznowienia postępowania albo uchylenia, zmiany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lastRenderedPageBreak/>
        <w:t>lub stwierdzenia nieważności decyzji ostatecznej,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wszczyna się postępowanie,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wszczyna się postępowanie nadzwyczajne, aby ostatecznie określona decyzja została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zatwierdzona.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10. Do podstawowych zadań organu II instancji należy: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rozpatrywanie spraw odwoławczych, które kończą się wydaniem decyzji,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przyjmowanie skarg,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tylko utrzymywanie w mocy zaskarżoną decyzję,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wszystkie odpowiedzi są poprawne.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11. Z jakich etapów składa się postępowanie odwoławcze przed organem II instancji?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z postępowania wyjaśniającego,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z postępowania wstępnego oraz z wydania decyzji,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z postępowania wstępnego, wyjaśniającego oraz wydania decyzji,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tylko z wydania decyzji.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12. Zaświadczenie to: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dokument, który nie rozstrzyga o prawach i obowiązkach, a jedynie w sposób sądowy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potwierdza istnienie lub nieistnienie faktów lub stanu prawnego,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dokument, który należy wydać w ciągu miesiąca,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dokument, który winien być wydany na żądanie osoby lub z urzędu,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tylko skrócony akt urodzenia.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13. Z wnioskiem do sądu administracyjnego o rozpatrzenie sporu kompetencyjnego nie może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wystąpić: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strona,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organizacje społeczne nie będące stroną,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wojewoda,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Minister Sprawiedliwości.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14. Spory kompetencyjne między jednostkami samorządu terytorialnego rozstrzyga: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wspólny organ wyższego stopnia,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wojewoda,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minister właściwy do spraw administracji publicznej,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wszystkie odpowiedzi są poprawne.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15. Skargę kasacyjną można wnieść do: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Wojewódzkiego sądu administracyjnego,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Naczelnego Sądu Administracyjnego,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Organu wyższej instancji,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lastRenderedPageBreak/>
        <w:t>d) Sądu Najwyższego.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16. Postępowanie wyjaśniające w organie odwoławczym jest: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Prowadzone przez organ I instancji,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Postępowaniem którego celem jest sprawdzenie czy niezadowolenie strony z podjętej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przez organ I instancji decyzji jest uzasadnione czy tez nie,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Postępowaniem które musi być przeprowadzone tylko na żądanie strony,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Wszystkie odpowiedzi są poprawne.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17. Uprawnionym do wniesienia skargi jest: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ten kto ma w tym interes prawny,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prokurator,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Rzecznik Praw Obywatelskich,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wszystkie odpowiedzi są poprawne.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18. Na jakich podstawach może być oparta skarga kasacyjna?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na podstawie naruszenia prawa materialnego przez błędną jego wykładnię lub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niewłaściwe zastosowanie,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na podstawie naruszenia pewnych faktów,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żadna odpowiedź nie jest dobra,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wszystkie odpowiedzi są złe.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19. Sędziów sądów administracyjnych powołuje: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Prezes NSA,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Minister sprawiedliwości,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Minister właściwy do spraw wewnętrznych,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Prezydent RP.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20. Kto rozstrzyga spory kompetencyjne między organami samorządu terytorialnego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 terenowymi organami administracji rządowej?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Wojewoda,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Minister,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Premier,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Sąd administracyjny.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21. Tytuł wykonawczy to dokument sporządzony przez: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wierzyciela,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zobowiązanego,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świadka egzekucji administracyjnej,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poborcę skarbowego.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lastRenderedPageBreak/>
        <w:t>22. Do środków egzekucyjnych obowiązków o charakterze pieniężnym należą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grzywna,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egzekucja z autorskich praw majątkowych,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odebranie rzeczy ruchomej,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przymus bezpośredni.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23. Trasat to: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osoba wystawiająca weksel,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osoba oddająca weksel do redyskonta,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osoba, której wystawca weksla poleca dokonanie zapłaty sumy wekslowej,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osoba żadna z wymienionych.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24. Środki prawne służące zobowiązanemu w postępowaniu egzekucyjnym to: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egzekucję z weksla,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zażalenie na postępowanie,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przydzielenie uprawnień zobowiązanemu,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rekwizycja czynności egzekucyjnych.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25. Zobowiązany w postępowaniu egzekucyjnym w administracji to: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osoba fizyczna lub prawna, na której spoczywa obowiązek o charakterze pieniężnym lub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niepieniężnym,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tylko osoba fizyczna, na której spoczywa obowiązek o charakterze pieniężnym lub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niepieniężnym,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tylko osoba prawna, na której spoczywa obowiązek o charakterze pieniężnym lub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niepieniężnym,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tylko osoba fizyczna, na której spoczywa obowiązek o charakterze pieniężnym.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26. Egzekucji administracyjnej nie podlegają: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podatki i opłaty,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grzywny,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wpłaty na fundusze celowe,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niektóre przedmioty i urządzenia domowe.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27. Postępowanie zabezpieczające stosowane jest w szczególności, gdy: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wystąpi brak płynności finansowej zobowiązanego,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wystąpi brak płynności finansowej wierzyciela,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wystąpi brak płynności finansowej organu egzekucyjnego,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wystąpi brak płynności finansowej komornika.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28. Zasada praworządności stosowana w postępowaniu egzekucyjnym w administracji mówi, że: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organ egzekucyjny stosuje środki egzekucji zalecane przez rząd,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lastRenderedPageBreak/>
        <w:t>b) organ egzekucyjny stosuje środki egzekucji przewidziane w prawie,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organ egzekucyjny stosuje najłagodniejsze środki egzekucji,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organ egzekucyjny nie istnieje.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29. Wszczęcie postępowania egzekucyjnego następuje na wniosek: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zobowiązanego,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egzekutora,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wierzyciela,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poborcę skarbowego.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30. Egzekwowane należność to: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należność główna wyznaczona przez poborcę skarbowego,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należność główna wraz z odsetkami i kosztami za zwłokę,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należność główna, bez odsetek,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należność dla egzekutora.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31. Zajęcie i sprzedaż mebli antycznych to etapy egzekucji: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z ruchomości,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z nieruchomości,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z praw majątkowych,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z pozostałych praw majątkowych.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32. Podmiot, na którym ciąży obowiązek wykonania określonego świadczenia lub zachowania w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postępowaniu egzekucyjnym w administracji, to: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Naczelnik Urzędu Skarbowego,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świadek,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wierzyciel,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zobowiązany.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33. Postępowanie zabezpieczające polega na stworzeniu warunków: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korzystnych dla zobowiązanego,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niekorzystnych dla egzekutora,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ułatwiających przyszłą egzekucję,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utrudniających przyszłą egzekucję.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34. Opłata komornicza wynosi: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10% kwot przekazanych wierzycielowi przez organ egzekucyjny lub zobowiązanego,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15% kwot przekazanych wierzycielowi przez organ egzekucyjny lub zobowiązanego,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20% kwot przekazanych wierzycielowi przez organ egzekucyjny lub zobowiązanego,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5% kwot przekazanych wierzycielowi przez organ egzekucyjny lub zobowiązanego.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35. Zażalenie na oszacowanie należy zgłosić w ciągu: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lastRenderedPageBreak/>
        <w:t>a) 7 dni,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5 dni,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10 dni,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3 dni.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36. Zastosowanie grzywny w celu przymuszenia: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nie stoi na przeszkodzie orzeczenia grzywny w sprawach o wykroczenie,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stoi na przeszkodzie orzeczenia grzywny w sprawach o wykroczenie,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nie istnieje,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znosi możliwość orzeczenia grzywny za wykroczenie.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37. Ubój zwierząt w celu usunięcia zagrożenia epidemiologicznego to: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przymus bezpośredni,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wykonanie zastępcze,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odebranie rzeczy ruchomej,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grzywna w celu przymuszenia.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38. Zajęcie wynagrodzenia za pracę jest dokonywane: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z chwilą doręczenia pracodawcy zawiadomienia o zajęciu,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na początku następnego miesiąca od doręczenia zawiadomienia o zajęciu,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w ciągu 7 dni od doręczenia zawiadomienia o zajęciu,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w ciągu 3 dni od doręczenia zawiadomienia o zajęciu.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39. Nakładana wielokrotność grzywny w celu przymuszenia dla osób fizycznych nie może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przekroczyć: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5.000 zł,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10.000 zł,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15.000 zł,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20.000 zł.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40. W stosunku do osób prawnych grzywna w celu przymuszenia może być nakładana do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wysokości: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a) 5.000 zł,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b) 10.000 zł,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c) 15.000 zł,</w:t>
      </w:r>
    </w:p>
    <w:p w:rsidR="00BE37D2" w:rsidRPr="00BE37D2" w:rsidRDefault="00BE37D2" w:rsidP="00BE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D2">
        <w:rPr>
          <w:rFonts w:ascii="Times New Roman" w:hAnsi="Times New Roman" w:cs="Times New Roman"/>
          <w:sz w:val="24"/>
          <w:szCs w:val="24"/>
        </w:rPr>
        <w:t>d) 25.000 zł.</w:t>
      </w:r>
    </w:p>
    <w:p w:rsidR="00BE37D2" w:rsidRDefault="00BE37D2" w:rsidP="00BE3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E37D2" w:rsidSect="00252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B25"/>
    <w:multiLevelType w:val="hybridMultilevel"/>
    <w:tmpl w:val="E8F820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00A36"/>
    <w:multiLevelType w:val="hybridMultilevel"/>
    <w:tmpl w:val="C274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04FC"/>
    <w:multiLevelType w:val="hybridMultilevel"/>
    <w:tmpl w:val="E424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0926"/>
    <w:multiLevelType w:val="hybridMultilevel"/>
    <w:tmpl w:val="6E7E4B9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8261FDF"/>
    <w:multiLevelType w:val="hybridMultilevel"/>
    <w:tmpl w:val="E6F86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822EA"/>
    <w:multiLevelType w:val="hybridMultilevel"/>
    <w:tmpl w:val="3524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68"/>
    <w:rsid w:val="000203CC"/>
    <w:rsid w:val="000D02A2"/>
    <w:rsid w:val="00252AF2"/>
    <w:rsid w:val="00303068"/>
    <w:rsid w:val="00335386"/>
    <w:rsid w:val="00386E88"/>
    <w:rsid w:val="00412C58"/>
    <w:rsid w:val="00457807"/>
    <w:rsid w:val="004822D5"/>
    <w:rsid w:val="006755C8"/>
    <w:rsid w:val="00703AD5"/>
    <w:rsid w:val="007759ED"/>
    <w:rsid w:val="008B5AF5"/>
    <w:rsid w:val="009B1019"/>
    <w:rsid w:val="00A151A8"/>
    <w:rsid w:val="00BE37D2"/>
    <w:rsid w:val="00D1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13E9"/>
  <w15:chartTrackingRefBased/>
  <w15:docId w15:val="{CE11A92C-1AB0-444C-B6CE-24C825A2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51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0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5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lendorf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bdb</dc:creator>
  <cp:keywords/>
  <dc:description/>
  <cp:lastModifiedBy>Beata Follendorf</cp:lastModifiedBy>
  <cp:revision>5</cp:revision>
  <cp:lastPrinted>2018-01-26T13:46:00Z</cp:lastPrinted>
  <dcterms:created xsi:type="dcterms:W3CDTF">2020-05-07T09:39:00Z</dcterms:created>
  <dcterms:modified xsi:type="dcterms:W3CDTF">2020-05-07T09:41:00Z</dcterms:modified>
</cp:coreProperties>
</file>