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E9" w:rsidRDefault="00B009E9" w:rsidP="00B00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Przedmiot: </w:t>
      </w:r>
      <w:r w:rsidRPr="00412C58">
        <w:rPr>
          <w:rFonts w:ascii="Times New Roman" w:hAnsi="Times New Roman" w:cs="Times New Roman"/>
          <w:b/>
          <w:bCs/>
          <w:sz w:val="28"/>
          <w:szCs w:val="28"/>
        </w:rPr>
        <w:t>pracownia pracy biurowej/wykonywanie pracy biurowej</w:t>
      </w:r>
    </w:p>
    <w:p w:rsidR="00B009E9" w:rsidRDefault="00B009E9" w:rsidP="00B00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Kierunek: technik administracji semestr 2/semestr 4</w:t>
      </w:r>
    </w:p>
    <w:p w:rsidR="00B009E9" w:rsidRDefault="00B009E9" w:rsidP="00B00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Rok szkolny: 2019/2020</w:t>
      </w:r>
      <w:bookmarkStart w:id="0" w:name="_GoBack"/>
      <w:bookmarkEnd w:id="0"/>
    </w:p>
    <w:p w:rsidR="0042329C" w:rsidRDefault="0042329C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29C" w:rsidRPr="0042329C" w:rsidRDefault="0042329C" w:rsidP="00423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29C">
        <w:rPr>
          <w:rFonts w:ascii="Times New Roman" w:hAnsi="Times New Roman" w:cs="Times New Roman"/>
          <w:b/>
          <w:bCs/>
          <w:sz w:val="28"/>
          <w:szCs w:val="28"/>
        </w:rPr>
        <w:t>Poniższy test jest testem jednokrotnego wyboru ( jedna odpowiedź poprawna)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29C">
        <w:rPr>
          <w:rFonts w:ascii="Times New Roman" w:hAnsi="Times New Roman" w:cs="Times New Roman"/>
          <w:b/>
          <w:bCs/>
          <w:sz w:val="28"/>
          <w:szCs w:val="28"/>
        </w:rPr>
        <w:t xml:space="preserve">. Proszę nanieść odpowiedzi na kartę odpowiedzi, właściwą zaznaczając X. Wypełniony test proszę odesłać na adres </w:t>
      </w:r>
      <w:hyperlink r:id="rId4" w:history="1">
        <w:r w:rsidRPr="008F4104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follendorf@o2.pl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4D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pPr w:leftFromText="141" w:rightFromText="141" w:vertAnchor="page" w:horzAnchor="margin" w:tblpY="4051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2"/>
        <w:gridCol w:w="877"/>
        <w:gridCol w:w="1736"/>
        <w:gridCol w:w="1430"/>
        <w:gridCol w:w="2270"/>
      </w:tblGrid>
      <w:tr w:rsidR="0042329C" w:rsidRPr="0042329C" w:rsidTr="0042329C">
        <w:trPr>
          <w:trHeight w:val="297"/>
        </w:trPr>
        <w:tc>
          <w:tcPr>
            <w:tcW w:w="9045" w:type="dxa"/>
            <w:gridSpan w:val="5"/>
            <w:vAlign w:val="center"/>
          </w:tcPr>
          <w:p w:rsidR="0042329C" w:rsidRPr="0042329C" w:rsidRDefault="0042329C" w:rsidP="0042329C">
            <w:pPr>
              <w:jc w:val="center"/>
              <w:rPr>
                <w:b/>
                <w:bCs/>
                <w:sz w:val="28"/>
                <w:szCs w:val="28"/>
              </w:rPr>
            </w:pPr>
            <w:r w:rsidRPr="0042329C">
              <w:rPr>
                <w:b/>
                <w:bCs/>
                <w:sz w:val="28"/>
                <w:szCs w:val="28"/>
              </w:rPr>
              <w:t>KARTA ODPOWIEDZI</w:t>
            </w:r>
          </w:p>
        </w:tc>
      </w:tr>
      <w:tr w:rsidR="0042329C" w:rsidRPr="0042329C" w:rsidTr="0042329C">
        <w:trPr>
          <w:trHeight w:val="297"/>
        </w:trPr>
        <w:tc>
          <w:tcPr>
            <w:tcW w:w="2732" w:type="dxa"/>
            <w:vMerge w:val="restart"/>
            <w:vAlign w:val="center"/>
          </w:tcPr>
          <w:p w:rsidR="0042329C" w:rsidRPr="0042329C" w:rsidRDefault="0042329C" w:rsidP="0042329C">
            <w:pPr>
              <w:rPr>
                <w:bCs/>
                <w:sz w:val="16"/>
                <w:szCs w:val="16"/>
              </w:rPr>
            </w:pPr>
          </w:p>
          <w:p w:rsidR="0042329C" w:rsidRPr="0042329C" w:rsidRDefault="0042329C" w:rsidP="0042329C">
            <w:pPr>
              <w:rPr>
                <w:bCs/>
                <w:sz w:val="16"/>
                <w:szCs w:val="16"/>
              </w:rPr>
            </w:pPr>
          </w:p>
          <w:p w:rsidR="0042329C" w:rsidRPr="0042329C" w:rsidRDefault="0042329C" w:rsidP="00423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  <w:vAlign w:val="center"/>
          </w:tcPr>
          <w:p w:rsidR="0042329C" w:rsidRPr="0042329C" w:rsidRDefault="0042329C" w:rsidP="0042329C">
            <w:pPr>
              <w:jc w:val="center"/>
              <w:rPr>
                <w:bCs/>
                <w:sz w:val="16"/>
                <w:szCs w:val="16"/>
              </w:rPr>
            </w:pPr>
            <w:r w:rsidRPr="0042329C">
              <w:rPr>
                <w:bCs/>
                <w:sz w:val="16"/>
                <w:szCs w:val="16"/>
              </w:rPr>
              <w:t>Skala ocen</w:t>
            </w:r>
          </w:p>
        </w:tc>
        <w:tc>
          <w:tcPr>
            <w:tcW w:w="1430" w:type="dxa"/>
            <w:vAlign w:val="center"/>
          </w:tcPr>
          <w:p w:rsidR="0042329C" w:rsidRPr="0042329C" w:rsidRDefault="0042329C" w:rsidP="0042329C">
            <w:pPr>
              <w:jc w:val="center"/>
              <w:rPr>
                <w:bCs/>
                <w:sz w:val="16"/>
                <w:szCs w:val="16"/>
              </w:rPr>
            </w:pPr>
            <w:r w:rsidRPr="0042329C">
              <w:rPr>
                <w:bCs/>
                <w:sz w:val="16"/>
                <w:szCs w:val="16"/>
              </w:rPr>
              <w:t>Liczba punktów</w:t>
            </w:r>
          </w:p>
        </w:tc>
        <w:tc>
          <w:tcPr>
            <w:tcW w:w="2268" w:type="dxa"/>
            <w:vAlign w:val="center"/>
          </w:tcPr>
          <w:p w:rsidR="0042329C" w:rsidRPr="0042329C" w:rsidRDefault="0042329C" w:rsidP="0042329C">
            <w:pPr>
              <w:jc w:val="center"/>
              <w:rPr>
                <w:bCs/>
                <w:sz w:val="16"/>
                <w:szCs w:val="16"/>
              </w:rPr>
            </w:pPr>
            <w:r w:rsidRPr="0042329C">
              <w:rPr>
                <w:bCs/>
                <w:sz w:val="16"/>
                <w:szCs w:val="16"/>
              </w:rPr>
              <w:t>ocena</w:t>
            </w:r>
          </w:p>
        </w:tc>
      </w:tr>
      <w:tr w:rsidR="0042329C" w:rsidRPr="0042329C" w:rsidTr="0042329C">
        <w:trPr>
          <w:trHeight w:val="469"/>
        </w:trPr>
        <w:tc>
          <w:tcPr>
            <w:tcW w:w="2732" w:type="dxa"/>
            <w:vMerge/>
            <w:tcBorders>
              <w:bottom w:val="dashed" w:sz="4" w:space="0" w:color="auto"/>
            </w:tcBorders>
            <w:vAlign w:val="center"/>
          </w:tcPr>
          <w:p w:rsidR="0042329C" w:rsidRPr="0042329C" w:rsidRDefault="0042329C" w:rsidP="0042329C">
            <w:pPr>
              <w:rPr>
                <w:bCs/>
              </w:rPr>
            </w:pPr>
          </w:p>
        </w:tc>
        <w:tc>
          <w:tcPr>
            <w:tcW w:w="877" w:type="dxa"/>
            <w:vMerge w:val="restart"/>
            <w:tcBorders>
              <w:right w:val="nil"/>
            </w:tcBorders>
          </w:tcPr>
          <w:p w:rsidR="0042329C" w:rsidRPr="0042329C" w:rsidRDefault="0042329C" w:rsidP="0042329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22-25</w:t>
            </w:r>
          </w:p>
          <w:p w:rsidR="0042329C" w:rsidRPr="0042329C" w:rsidRDefault="0042329C" w:rsidP="0042329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18-21</w:t>
            </w:r>
          </w:p>
          <w:p w:rsidR="0042329C" w:rsidRPr="0042329C" w:rsidRDefault="0042329C" w:rsidP="0042329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14 -17</w:t>
            </w:r>
          </w:p>
          <w:p w:rsidR="0042329C" w:rsidRPr="0042329C" w:rsidRDefault="0042329C" w:rsidP="0042329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10-13</w:t>
            </w:r>
          </w:p>
          <w:p w:rsidR="0042329C" w:rsidRPr="0042329C" w:rsidRDefault="0042329C" w:rsidP="0042329C">
            <w:pPr>
              <w:rPr>
                <w:bCs/>
              </w:rPr>
            </w:pPr>
            <w:r>
              <w:rPr>
                <w:bCs/>
                <w:sz w:val="16"/>
                <w:szCs w:val="16"/>
              </w:rPr>
              <w:t>&lt;10</w:t>
            </w:r>
          </w:p>
        </w:tc>
        <w:tc>
          <w:tcPr>
            <w:tcW w:w="1735" w:type="dxa"/>
            <w:vMerge w:val="restart"/>
            <w:tcBorders>
              <w:left w:val="nil"/>
            </w:tcBorders>
          </w:tcPr>
          <w:p w:rsidR="0042329C" w:rsidRPr="0042329C" w:rsidRDefault="0042329C" w:rsidP="0042329C">
            <w:pPr>
              <w:rPr>
                <w:bCs/>
              </w:rPr>
            </w:pPr>
            <w:r w:rsidRPr="0042329C">
              <w:rPr>
                <w:bCs/>
                <w:sz w:val="16"/>
                <w:szCs w:val="16"/>
              </w:rPr>
              <w:t>Bardzo dobry</w:t>
            </w:r>
          </w:p>
          <w:p w:rsidR="0042329C" w:rsidRPr="0042329C" w:rsidRDefault="0042329C" w:rsidP="0042329C">
            <w:pPr>
              <w:rPr>
                <w:bCs/>
              </w:rPr>
            </w:pPr>
            <w:r w:rsidRPr="0042329C">
              <w:rPr>
                <w:bCs/>
                <w:sz w:val="16"/>
                <w:szCs w:val="16"/>
              </w:rPr>
              <w:t>Dobry</w:t>
            </w:r>
          </w:p>
          <w:p w:rsidR="0042329C" w:rsidRPr="0042329C" w:rsidRDefault="0042329C" w:rsidP="0042329C">
            <w:pPr>
              <w:rPr>
                <w:bCs/>
                <w:sz w:val="16"/>
                <w:szCs w:val="16"/>
              </w:rPr>
            </w:pPr>
            <w:r w:rsidRPr="0042329C">
              <w:rPr>
                <w:bCs/>
                <w:sz w:val="16"/>
                <w:szCs w:val="16"/>
              </w:rPr>
              <w:t>Dostateczny</w:t>
            </w:r>
          </w:p>
          <w:p w:rsidR="0042329C" w:rsidRPr="0042329C" w:rsidRDefault="0042329C" w:rsidP="0042329C">
            <w:pPr>
              <w:rPr>
                <w:bCs/>
              </w:rPr>
            </w:pPr>
            <w:r w:rsidRPr="0042329C">
              <w:rPr>
                <w:bCs/>
                <w:sz w:val="16"/>
                <w:szCs w:val="16"/>
              </w:rPr>
              <w:t>Dopuszczający</w:t>
            </w:r>
          </w:p>
          <w:p w:rsidR="0042329C" w:rsidRPr="0042329C" w:rsidRDefault="0042329C" w:rsidP="0042329C">
            <w:pPr>
              <w:rPr>
                <w:bCs/>
              </w:rPr>
            </w:pPr>
            <w:r w:rsidRPr="0042329C">
              <w:rPr>
                <w:bCs/>
                <w:sz w:val="16"/>
                <w:szCs w:val="16"/>
              </w:rPr>
              <w:t>niedostateczny</w:t>
            </w:r>
          </w:p>
        </w:tc>
        <w:tc>
          <w:tcPr>
            <w:tcW w:w="1430" w:type="dxa"/>
            <w:vMerge w:val="restart"/>
            <w:vAlign w:val="center"/>
          </w:tcPr>
          <w:p w:rsidR="0042329C" w:rsidRPr="0042329C" w:rsidRDefault="0042329C" w:rsidP="00423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2329C" w:rsidRPr="0042329C" w:rsidRDefault="0042329C" w:rsidP="0042329C">
            <w:pPr>
              <w:rPr>
                <w:bCs/>
                <w:sz w:val="16"/>
                <w:szCs w:val="16"/>
              </w:rPr>
            </w:pPr>
          </w:p>
        </w:tc>
      </w:tr>
      <w:tr w:rsidR="0042329C" w:rsidRPr="0042329C" w:rsidTr="0042329C">
        <w:trPr>
          <w:trHeight w:val="1011"/>
        </w:trPr>
        <w:tc>
          <w:tcPr>
            <w:tcW w:w="27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29C" w:rsidRPr="0042329C" w:rsidRDefault="0042329C" w:rsidP="0042329C">
            <w:pPr>
              <w:jc w:val="center"/>
              <w:rPr>
                <w:bCs/>
                <w:sz w:val="16"/>
                <w:szCs w:val="16"/>
              </w:rPr>
            </w:pPr>
            <w:r w:rsidRPr="0042329C">
              <w:rPr>
                <w:bCs/>
                <w:sz w:val="16"/>
                <w:szCs w:val="16"/>
              </w:rPr>
              <w:t>IMIĘ i NAZWISKO SŁUCHACZA</w:t>
            </w:r>
          </w:p>
        </w:tc>
        <w:tc>
          <w:tcPr>
            <w:tcW w:w="877" w:type="dxa"/>
            <w:vMerge/>
            <w:tcBorders>
              <w:right w:val="nil"/>
            </w:tcBorders>
            <w:vAlign w:val="center"/>
          </w:tcPr>
          <w:p w:rsidR="0042329C" w:rsidRPr="0042329C" w:rsidRDefault="0042329C" w:rsidP="0042329C">
            <w:pPr>
              <w:rPr>
                <w:bCs/>
              </w:rPr>
            </w:pPr>
          </w:p>
        </w:tc>
        <w:tc>
          <w:tcPr>
            <w:tcW w:w="1735" w:type="dxa"/>
            <w:vMerge/>
            <w:tcBorders>
              <w:left w:val="nil"/>
            </w:tcBorders>
            <w:vAlign w:val="center"/>
          </w:tcPr>
          <w:p w:rsidR="0042329C" w:rsidRPr="0042329C" w:rsidRDefault="0042329C" w:rsidP="0042329C">
            <w:pPr>
              <w:rPr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42329C" w:rsidRPr="0042329C" w:rsidRDefault="0042329C" w:rsidP="00423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2329C" w:rsidRPr="0042329C" w:rsidRDefault="0042329C" w:rsidP="0042329C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tbl>
      <w:tblPr>
        <w:tblW w:w="317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42329C" w:rsidRPr="0042329C" w:rsidTr="0042329C">
        <w:trPr>
          <w:cantSplit/>
          <w:trHeight w:val="40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42329C" w:rsidRPr="0042329C" w:rsidRDefault="0042329C" w:rsidP="0042329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42329C" w:rsidRPr="0042329C" w:rsidRDefault="0042329C" w:rsidP="0042329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42329C" w:rsidRPr="0042329C" w:rsidRDefault="0042329C" w:rsidP="0042329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42329C" w:rsidRPr="0042329C" w:rsidRDefault="0042329C" w:rsidP="0042329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42329C" w:rsidRPr="0042329C" w:rsidRDefault="0042329C" w:rsidP="0042329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42329C" w:rsidRPr="0042329C" w:rsidRDefault="0042329C" w:rsidP="0042329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42329C" w:rsidRPr="0042329C" w:rsidRDefault="0042329C" w:rsidP="0042329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42329C" w:rsidRPr="0042329C" w:rsidRDefault="0042329C" w:rsidP="0042329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42329C" w:rsidRPr="0042329C" w:rsidRDefault="0042329C" w:rsidP="0042329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42329C" w:rsidRPr="0042329C" w:rsidRDefault="0042329C" w:rsidP="0042329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42329C" w:rsidRPr="0042329C" w:rsidRDefault="0042329C" w:rsidP="0042329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42329C" w:rsidRPr="0042329C" w:rsidRDefault="0042329C" w:rsidP="0042329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42329C" w:rsidRPr="0042329C" w:rsidRDefault="0042329C" w:rsidP="0042329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42329C" w:rsidRPr="0042329C" w:rsidRDefault="0042329C" w:rsidP="0042329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42329C" w:rsidRPr="0042329C" w:rsidRDefault="0042329C" w:rsidP="0042329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42329C" w:rsidRPr="0042329C" w:rsidRDefault="0042329C" w:rsidP="0042329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42329C" w:rsidRPr="0042329C" w:rsidRDefault="0042329C" w:rsidP="0042329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42329C" w:rsidRPr="0042329C" w:rsidRDefault="0042329C" w:rsidP="0042329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42329C" w:rsidRPr="0042329C" w:rsidRDefault="0042329C" w:rsidP="0042329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42329C" w:rsidRPr="0042329C" w:rsidRDefault="0042329C" w:rsidP="0042329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42329C" w:rsidRPr="0042329C" w:rsidRDefault="0042329C" w:rsidP="0042329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42329C" w:rsidRPr="0042329C" w:rsidRDefault="0042329C" w:rsidP="0042329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42329C" w:rsidRPr="0042329C" w:rsidRDefault="0042329C" w:rsidP="0042329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42329C" w:rsidRPr="0042329C" w:rsidRDefault="0042329C" w:rsidP="0042329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42329C" w:rsidRPr="0042329C" w:rsidRDefault="0042329C" w:rsidP="0042329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25</w:t>
            </w:r>
          </w:p>
        </w:tc>
      </w:tr>
      <w:tr w:rsidR="0042329C" w:rsidRPr="0042329C" w:rsidTr="0042329C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2329C" w:rsidRPr="0042329C" w:rsidTr="0042329C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2329C" w:rsidRPr="0042329C" w:rsidTr="0042329C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2329C" w:rsidRPr="0042329C" w:rsidTr="0042329C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2329C" w:rsidRPr="0042329C" w:rsidTr="0042329C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9C" w:rsidRPr="0042329C" w:rsidRDefault="0042329C" w:rsidP="00423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232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42329C" w:rsidRDefault="0042329C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 xml:space="preserve">1. </w:t>
      </w:r>
      <w:r w:rsidR="009E4539" w:rsidRPr="00E81DE2">
        <w:rPr>
          <w:rFonts w:ascii="Times New Roman" w:hAnsi="Times New Roman" w:cs="Times New Roman"/>
          <w:b/>
          <w:sz w:val="24"/>
          <w:szCs w:val="24"/>
        </w:rPr>
        <w:t>Zakłóceniem psychologicznym mogącym wystąpić w komunikacji jest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E81DE2">
        <w:rPr>
          <w:rFonts w:ascii="Times New Roman" w:hAnsi="Times New Roman" w:cs="Times New Roman"/>
          <w:sz w:val="24"/>
          <w:szCs w:val="24"/>
        </w:rPr>
        <w:t>problem ze słuchem jednej z osób biorących udział w rozmowie.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E81DE2">
        <w:rPr>
          <w:rFonts w:ascii="Times New Roman" w:hAnsi="Times New Roman" w:cs="Times New Roman"/>
          <w:sz w:val="24"/>
          <w:szCs w:val="24"/>
        </w:rPr>
        <w:t>negatywne nastawienie jednej ze stron biorących udział w rozmowie w stosunku do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drugiej strony wynikające z niechlujnego wyglądu rozmówcy.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E81DE2">
        <w:rPr>
          <w:rFonts w:ascii="Times New Roman" w:hAnsi="Times New Roman" w:cs="Times New Roman"/>
          <w:sz w:val="24"/>
          <w:szCs w:val="24"/>
        </w:rPr>
        <w:t>hałas.</w:t>
      </w:r>
    </w:p>
    <w:p w:rsidR="00A17C34" w:rsidRPr="00E81DE2" w:rsidRDefault="009E4539" w:rsidP="009E4539">
      <w:pPr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E81DE2">
        <w:rPr>
          <w:rFonts w:ascii="Times New Roman" w:hAnsi="Times New Roman" w:cs="Times New Roman"/>
          <w:sz w:val="24"/>
          <w:szCs w:val="24"/>
        </w:rPr>
        <w:t>fachowe słownictwo stosowane przez urzędników, niezrozumiałe przez inne osoby.</w:t>
      </w: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DE2">
        <w:rPr>
          <w:rFonts w:ascii="Times New Roman" w:hAnsi="Times New Roman" w:cs="Times New Roman"/>
          <w:b/>
          <w:sz w:val="24"/>
          <w:szCs w:val="24"/>
        </w:rPr>
        <w:t>2.</w:t>
      </w:r>
      <w:r w:rsidR="009E4539" w:rsidRPr="00E81DE2">
        <w:rPr>
          <w:rFonts w:ascii="Times New Roman" w:hAnsi="Times New Roman" w:cs="Times New Roman"/>
          <w:b/>
          <w:sz w:val="24"/>
          <w:szCs w:val="24"/>
        </w:rPr>
        <w:t>Pytanie zastosowane przez urzędnika w trakcie rozmowy „Czy wniósł pan opłatę za to pismo?” to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E81DE2">
        <w:rPr>
          <w:rFonts w:ascii="Times New Roman" w:hAnsi="Times New Roman" w:cs="Times New Roman"/>
          <w:sz w:val="24"/>
          <w:szCs w:val="24"/>
        </w:rPr>
        <w:t>taktyka pytań zamkniętych.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E81DE2">
        <w:rPr>
          <w:rFonts w:ascii="Times New Roman" w:hAnsi="Times New Roman" w:cs="Times New Roman"/>
          <w:sz w:val="24"/>
          <w:szCs w:val="24"/>
        </w:rPr>
        <w:t>taktyka pytań otwartych.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E81DE2">
        <w:rPr>
          <w:rFonts w:ascii="Times New Roman" w:hAnsi="Times New Roman" w:cs="Times New Roman"/>
          <w:sz w:val="24"/>
          <w:szCs w:val="24"/>
        </w:rPr>
        <w:t>taktyka parafrazy.</w:t>
      </w:r>
    </w:p>
    <w:p w:rsidR="009E4539" w:rsidRPr="00E81DE2" w:rsidRDefault="009E4539" w:rsidP="009E4539">
      <w:pPr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E81DE2">
        <w:rPr>
          <w:rFonts w:ascii="Times New Roman" w:hAnsi="Times New Roman" w:cs="Times New Roman"/>
          <w:sz w:val="24"/>
          <w:szCs w:val="24"/>
        </w:rPr>
        <w:t>taktyka otwartej frazy.</w:t>
      </w: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DE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E4539" w:rsidRPr="00E81DE2">
        <w:rPr>
          <w:rFonts w:ascii="Times New Roman" w:hAnsi="Times New Roman" w:cs="Times New Roman"/>
          <w:b/>
          <w:sz w:val="24"/>
          <w:szCs w:val="24"/>
        </w:rPr>
        <w:t>Przestrzeń od 45 do 1,2 m od danej osoby to przestrzeń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E81DE2">
        <w:rPr>
          <w:rFonts w:ascii="Times New Roman" w:hAnsi="Times New Roman" w:cs="Times New Roman"/>
          <w:sz w:val="24"/>
          <w:szCs w:val="24"/>
        </w:rPr>
        <w:t>intymna.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E81DE2">
        <w:rPr>
          <w:rFonts w:ascii="Times New Roman" w:hAnsi="Times New Roman" w:cs="Times New Roman"/>
          <w:sz w:val="24"/>
          <w:szCs w:val="24"/>
        </w:rPr>
        <w:t>osobista.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E81DE2">
        <w:rPr>
          <w:rFonts w:ascii="Times New Roman" w:hAnsi="Times New Roman" w:cs="Times New Roman"/>
          <w:sz w:val="24"/>
          <w:szCs w:val="24"/>
        </w:rPr>
        <w:t>społeczna.</w:t>
      </w:r>
    </w:p>
    <w:p w:rsidR="009E4539" w:rsidRPr="00E81DE2" w:rsidRDefault="009E4539" w:rsidP="009E4539">
      <w:pPr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E81DE2">
        <w:rPr>
          <w:rFonts w:ascii="Times New Roman" w:hAnsi="Times New Roman" w:cs="Times New Roman"/>
          <w:sz w:val="24"/>
          <w:szCs w:val="24"/>
        </w:rPr>
        <w:t>publiczna.</w:t>
      </w: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DE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E4539" w:rsidRPr="00E81DE2">
        <w:rPr>
          <w:rFonts w:ascii="Times New Roman" w:hAnsi="Times New Roman" w:cs="Times New Roman"/>
          <w:b/>
          <w:sz w:val="24"/>
          <w:szCs w:val="24"/>
        </w:rPr>
        <w:t>Która forma rozpoczęcia e-maila przez urzędnika jest uważana za najbezpieczniejszą?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E81DE2">
        <w:rPr>
          <w:rFonts w:ascii="Times New Roman" w:hAnsi="Times New Roman" w:cs="Times New Roman"/>
          <w:sz w:val="24"/>
          <w:szCs w:val="24"/>
        </w:rPr>
        <w:t>Witam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B. </w:t>
      </w:r>
      <w:r w:rsidRPr="00E81DE2">
        <w:rPr>
          <w:rFonts w:ascii="Times New Roman" w:hAnsi="Times New Roman" w:cs="Times New Roman"/>
          <w:sz w:val="24"/>
          <w:szCs w:val="24"/>
        </w:rPr>
        <w:t>Szanowny Panie Janie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E81DE2">
        <w:rPr>
          <w:rFonts w:ascii="Times New Roman" w:hAnsi="Times New Roman" w:cs="Times New Roman"/>
          <w:sz w:val="24"/>
          <w:szCs w:val="24"/>
        </w:rPr>
        <w:t>Dzień dobry</w:t>
      </w:r>
    </w:p>
    <w:p w:rsidR="009E4539" w:rsidRPr="00E81DE2" w:rsidRDefault="009E4539" w:rsidP="009E4539">
      <w:pPr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E81DE2">
        <w:rPr>
          <w:rFonts w:ascii="Times New Roman" w:hAnsi="Times New Roman" w:cs="Times New Roman"/>
          <w:sz w:val="24"/>
          <w:szCs w:val="24"/>
        </w:rPr>
        <w:t>Szanowna Pani Aniu</w:t>
      </w: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DE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E4539" w:rsidRPr="00E81DE2">
        <w:rPr>
          <w:rFonts w:ascii="Times New Roman" w:hAnsi="Times New Roman" w:cs="Times New Roman"/>
          <w:b/>
          <w:sz w:val="24"/>
          <w:szCs w:val="24"/>
        </w:rPr>
        <w:t>Sankcje za przyjęcie korzyści majątkowej lub osobistej przez urzędnika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E81DE2">
        <w:rPr>
          <w:rFonts w:ascii="Times New Roman" w:hAnsi="Times New Roman" w:cs="Times New Roman"/>
          <w:sz w:val="24"/>
          <w:szCs w:val="24"/>
        </w:rPr>
        <w:t>nie są regulowane przez prawo.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E81DE2">
        <w:rPr>
          <w:rFonts w:ascii="Times New Roman" w:hAnsi="Times New Roman" w:cs="Times New Roman"/>
          <w:sz w:val="24"/>
          <w:szCs w:val="24"/>
        </w:rPr>
        <w:t>reguluje Kodeks karny.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E81DE2">
        <w:rPr>
          <w:rFonts w:ascii="Times New Roman" w:hAnsi="Times New Roman" w:cs="Times New Roman"/>
          <w:sz w:val="24"/>
          <w:szCs w:val="24"/>
        </w:rPr>
        <w:t>reguluje Kodeks postępowania administracyjnego.</w:t>
      </w:r>
    </w:p>
    <w:p w:rsidR="009E4539" w:rsidRPr="00E81DE2" w:rsidRDefault="009E4539" w:rsidP="009E4539">
      <w:pPr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E81DE2">
        <w:rPr>
          <w:rFonts w:ascii="Times New Roman" w:hAnsi="Times New Roman" w:cs="Times New Roman"/>
          <w:sz w:val="24"/>
          <w:szCs w:val="24"/>
        </w:rPr>
        <w:t>regulują wyłącznie regulaminy wewnętrzne poszczególnych urzędów.</w:t>
      </w: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DE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E4539" w:rsidRPr="00E81DE2">
        <w:rPr>
          <w:rFonts w:ascii="Times New Roman" w:hAnsi="Times New Roman" w:cs="Times New Roman"/>
          <w:b/>
          <w:sz w:val="24"/>
          <w:szCs w:val="24"/>
        </w:rPr>
        <w:t>Uważa się, że przeciętnie na dobry odbiór naszej wypowiedzi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E81DE2">
        <w:rPr>
          <w:rFonts w:ascii="Times New Roman" w:hAnsi="Times New Roman" w:cs="Times New Roman"/>
          <w:sz w:val="24"/>
          <w:szCs w:val="24"/>
        </w:rPr>
        <w:t>w 90% wpływa to, jak mówimy, a tylko w 10% to, co mówimy.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E81DE2">
        <w:rPr>
          <w:rFonts w:ascii="Times New Roman" w:hAnsi="Times New Roman" w:cs="Times New Roman"/>
          <w:sz w:val="24"/>
          <w:szCs w:val="24"/>
        </w:rPr>
        <w:t>w 10% wpływa to, jak mówimy, a tylko w 90% to, co mówimy.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E81DE2">
        <w:rPr>
          <w:rFonts w:ascii="Times New Roman" w:hAnsi="Times New Roman" w:cs="Times New Roman"/>
          <w:sz w:val="24"/>
          <w:szCs w:val="24"/>
        </w:rPr>
        <w:t>w 60% wpływa to, jak mówimy, a tylko w 40% to, co mówimy.</w:t>
      </w:r>
    </w:p>
    <w:p w:rsidR="009E4539" w:rsidRPr="00E81DE2" w:rsidRDefault="009E4539" w:rsidP="009E4539">
      <w:pPr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E81DE2">
        <w:rPr>
          <w:rFonts w:ascii="Times New Roman" w:hAnsi="Times New Roman" w:cs="Times New Roman"/>
          <w:sz w:val="24"/>
          <w:szCs w:val="24"/>
        </w:rPr>
        <w:t>w 40% wpływa to, jak mówimy, a tylko w 60% to, co mówimy.</w:t>
      </w: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DE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E4539" w:rsidRPr="00E81DE2">
        <w:rPr>
          <w:rFonts w:ascii="Times New Roman" w:hAnsi="Times New Roman" w:cs="Times New Roman"/>
          <w:b/>
          <w:sz w:val="24"/>
          <w:szCs w:val="24"/>
        </w:rPr>
        <w:t>Układ graficzny pism wychodzących poza granice przedsiębiorstwa:</w:t>
      </w: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9E4539" w:rsidRPr="00E81DE2">
        <w:rPr>
          <w:rFonts w:ascii="Times New Roman" w:hAnsi="Times New Roman" w:cs="Times New Roman"/>
          <w:sz w:val="24"/>
          <w:szCs w:val="24"/>
        </w:rPr>
        <w:t>nie jest ustalony,</w:t>
      </w: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9E4539" w:rsidRPr="00E81DE2">
        <w:rPr>
          <w:rFonts w:ascii="Times New Roman" w:hAnsi="Times New Roman" w:cs="Times New Roman"/>
          <w:sz w:val="24"/>
          <w:szCs w:val="24"/>
        </w:rPr>
        <w:t>zależy od przedsiębiorcy,</w:t>
      </w: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9E4539" w:rsidRPr="00E81DE2">
        <w:rPr>
          <w:rFonts w:ascii="Times New Roman" w:hAnsi="Times New Roman" w:cs="Times New Roman"/>
          <w:sz w:val="24"/>
          <w:szCs w:val="24"/>
        </w:rPr>
        <w:t>jest ustalony Polską Normą,</w:t>
      </w: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9E4539" w:rsidRPr="00E81DE2">
        <w:rPr>
          <w:rFonts w:ascii="Times New Roman" w:hAnsi="Times New Roman" w:cs="Times New Roman"/>
          <w:sz w:val="24"/>
          <w:szCs w:val="24"/>
        </w:rPr>
        <w:t xml:space="preserve"> jest dowolny.</w:t>
      </w: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E4539" w:rsidRPr="00E81DE2">
        <w:rPr>
          <w:rFonts w:ascii="Times New Roman" w:hAnsi="Times New Roman" w:cs="Times New Roman"/>
          <w:b/>
          <w:sz w:val="24"/>
          <w:szCs w:val="24"/>
        </w:rPr>
        <w:t>W układzie blokowym:</w:t>
      </w: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E4539" w:rsidRPr="00E81DE2">
        <w:rPr>
          <w:rFonts w:ascii="Times New Roman" w:hAnsi="Times New Roman" w:cs="Times New Roman"/>
          <w:sz w:val="24"/>
          <w:szCs w:val="24"/>
        </w:rPr>
        <w:t xml:space="preserve"> odstępy między wierszami wynoszą 1,5 wiersza,</w:t>
      </w: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9E4539" w:rsidRPr="00E81DE2">
        <w:rPr>
          <w:rFonts w:ascii="Times New Roman" w:hAnsi="Times New Roman" w:cs="Times New Roman"/>
          <w:sz w:val="24"/>
          <w:szCs w:val="24"/>
        </w:rPr>
        <w:t>korespondencję zaczynamy pisać od środka,</w:t>
      </w: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9E4539" w:rsidRPr="00E81DE2">
        <w:rPr>
          <w:rFonts w:ascii="Times New Roman" w:hAnsi="Times New Roman" w:cs="Times New Roman"/>
          <w:sz w:val="24"/>
          <w:szCs w:val="24"/>
        </w:rPr>
        <w:t xml:space="preserve"> tytuł piszemy na środku,</w:t>
      </w: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9E4539" w:rsidRPr="00E81DE2">
        <w:rPr>
          <w:rFonts w:ascii="Times New Roman" w:hAnsi="Times New Roman" w:cs="Times New Roman"/>
          <w:sz w:val="24"/>
          <w:szCs w:val="24"/>
        </w:rPr>
        <w:t>tytuł piszmy od lewego marginesu.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DE2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9E4539" w:rsidRPr="00E81DE2">
        <w:rPr>
          <w:rFonts w:ascii="Times New Roman" w:hAnsi="Times New Roman" w:cs="Times New Roman"/>
          <w:b/>
          <w:sz w:val="24"/>
          <w:szCs w:val="24"/>
        </w:rPr>
        <w:t>Blankiety zwykłe posiadają odmiany:</w:t>
      </w: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4539" w:rsidRPr="00E81DE2">
        <w:rPr>
          <w:rFonts w:ascii="Times New Roman" w:hAnsi="Times New Roman" w:cs="Times New Roman"/>
          <w:sz w:val="24"/>
          <w:szCs w:val="24"/>
        </w:rPr>
        <w:t xml:space="preserve"> BR 1, BR2,</w:t>
      </w: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4539" w:rsidRPr="00E81DE2">
        <w:rPr>
          <w:rFonts w:ascii="Times New Roman" w:hAnsi="Times New Roman" w:cs="Times New Roman"/>
          <w:sz w:val="24"/>
          <w:szCs w:val="24"/>
        </w:rPr>
        <w:t xml:space="preserve"> BB 1, BB 2,</w:t>
      </w: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4539" w:rsidRPr="00E81DE2">
        <w:rPr>
          <w:rFonts w:ascii="Times New Roman" w:hAnsi="Times New Roman" w:cs="Times New Roman"/>
          <w:sz w:val="24"/>
          <w:szCs w:val="24"/>
        </w:rPr>
        <w:t xml:space="preserve"> BU 1, BU 2, BU 3,</w:t>
      </w: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4539" w:rsidRPr="00E81DE2">
        <w:rPr>
          <w:rFonts w:ascii="Times New Roman" w:hAnsi="Times New Roman" w:cs="Times New Roman"/>
          <w:sz w:val="24"/>
          <w:szCs w:val="24"/>
        </w:rPr>
        <w:t xml:space="preserve"> BZ 1, BZ 2, BZ 3.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DE2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9E4539" w:rsidRPr="00E81DE2">
        <w:rPr>
          <w:rFonts w:ascii="Times New Roman" w:hAnsi="Times New Roman" w:cs="Times New Roman"/>
          <w:b/>
          <w:sz w:val="24"/>
          <w:szCs w:val="24"/>
        </w:rPr>
        <w:t>Nagłówek pisma zawiera: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a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imię, nazwisko nadawcy oraz adres,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b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adres, kod pocztowy i miejscowość nadawcy,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c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nazwę przedsiębiorstwa, adres, kod pocztowy i miejscowość,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d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nazwę przedsiębiorstwa, kod pocztowy i miejscowość.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DE2">
        <w:rPr>
          <w:rFonts w:ascii="Times New Roman" w:hAnsi="Times New Roman" w:cs="Times New Roman"/>
          <w:b/>
          <w:sz w:val="24"/>
          <w:szCs w:val="24"/>
        </w:rPr>
        <w:t>11</w:t>
      </w:r>
      <w:r w:rsidR="009E4539" w:rsidRPr="00E81DE2">
        <w:rPr>
          <w:rFonts w:ascii="Times New Roman" w:hAnsi="Times New Roman" w:cs="Times New Roman"/>
          <w:b/>
          <w:sz w:val="24"/>
          <w:szCs w:val="24"/>
        </w:rPr>
        <w:t>. Polska Norma określa zapisywanie daty w następujący sposób: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a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23.07.1978,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b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27 sierpień 98,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c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1997-04-06,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d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98-04-06.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DE2">
        <w:rPr>
          <w:rFonts w:ascii="Times New Roman" w:hAnsi="Times New Roman" w:cs="Times New Roman"/>
          <w:b/>
          <w:sz w:val="24"/>
          <w:szCs w:val="24"/>
        </w:rPr>
        <w:t>12</w:t>
      </w:r>
      <w:r w:rsidR="009E4539" w:rsidRPr="00E81DE2">
        <w:rPr>
          <w:rFonts w:ascii="Times New Roman" w:hAnsi="Times New Roman" w:cs="Times New Roman"/>
          <w:b/>
          <w:sz w:val="24"/>
          <w:szCs w:val="24"/>
        </w:rPr>
        <w:t>. Ze względu na zasięg stosowania, formularze dzielimy na: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a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zwykłe,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b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planistyczne,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c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resortowe,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d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mieszane.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DE2"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="009E4539" w:rsidRPr="00E81DE2">
        <w:rPr>
          <w:rFonts w:ascii="Times New Roman" w:hAnsi="Times New Roman" w:cs="Times New Roman"/>
          <w:b/>
          <w:sz w:val="24"/>
          <w:szCs w:val="24"/>
        </w:rPr>
        <w:t>. Formularze okienkowe dotyczą: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a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zasięgu stosowania,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b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układu graficznego,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c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techniki wykonania,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d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formy introligatorskiej.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DE2">
        <w:rPr>
          <w:rFonts w:ascii="Times New Roman" w:hAnsi="Times New Roman" w:cs="Times New Roman"/>
          <w:b/>
          <w:sz w:val="24"/>
          <w:szCs w:val="24"/>
        </w:rPr>
        <w:t>14</w:t>
      </w:r>
      <w:r w:rsidR="009E4539" w:rsidRPr="00E81DE2">
        <w:rPr>
          <w:rFonts w:ascii="Times New Roman" w:hAnsi="Times New Roman" w:cs="Times New Roman"/>
          <w:b/>
          <w:sz w:val="24"/>
          <w:szCs w:val="24"/>
        </w:rPr>
        <w:t>. Uchwała: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a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jest dokumentem sporządzanym obowiązkowo co miesiąc,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b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jest dokumentem oficjalnym,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c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nie jest dokumentem oficjalnym,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d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sporządzana jest w formie ustnej.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DE2">
        <w:rPr>
          <w:rFonts w:ascii="Times New Roman" w:hAnsi="Times New Roman" w:cs="Times New Roman"/>
          <w:b/>
          <w:sz w:val="24"/>
          <w:szCs w:val="24"/>
        </w:rPr>
        <w:t>15</w:t>
      </w:r>
      <w:r w:rsidR="009E4539" w:rsidRPr="00E81DE2">
        <w:rPr>
          <w:rFonts w:ascii="Times New Roman" w:hAnsi="Times New Roman" w:cs="Times New Roman"/>
          <w:b/>
          <w:sz w:val="24"/>
          <w:szCs w:val="24"/>
        </w:rPr>
        <w:t>. Styl urzędowy cechuje się: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a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przewagą zdań złożonych,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b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używaniem strony zwrotnej,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c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zwięzłością zdań,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d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ubarwianiem treści.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DE2">
        <w:rPr>
          <w:rFonts w:ascii="Times New Roman" w:hAnsi="Times New Roman" w:cs="Times New Roman"/>
          <w:b/>
          <w:sz w:val="24"/>
          <w:szCs w:val="24"/>
        </w:rPr>
        <w:t>16</w:t>
      </w:r>
      <w:r w:rsidR="009E4539" w:rsidRPr="00E81DE2">
        <w:rPr>
          <w:rFonts w:ascii="Times New Roman" w:hAnsi="Times New Roman" w:cs="Times New Roman"/>
          <w:b/>
          <w:sz w:val="24"/>
          <w:szCs w:val="24"/>
        </w:rPr>
        <w:t>. Skrótowiec PAN jest: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a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skrótowcem mieszanym,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b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literowcem,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c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głoskowcem,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d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grupowcem.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DE2">
        <w:rPr>
          <w:rFonts w:ascii="Times New Roman" w:hAnsi="Times New Roman" w:cs="Times New Roman"/>
          <w:b/>
          <w:sz w:val="24"/>
          <w:szCs w:val="24"/>
        </w:rPr>
        <w:t>17</w:t>
      </w:r>
      <w:r w:rsidR="009E4539" w:rsidRPr="00E81DE2">
        <w:rPr>
          <w:rFonts w:ascii="Times New Roman" w:hAnsi="Times New Roman" w:cs="Times New Roman"/>
          <w:b/>
          <w:sz w:val="24"/>
          <w:szCs w:val="24"/>
        </w:rPr>
        <w:t>. Grupowce: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a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powstają przez połączenie różnych sposobów odczytywania skrótów,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b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zbudowane są z pierwszych liter nazwy,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c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powstają przez wymawianie pierwszych głosek,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d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powstają przez wymawianie pierwszych grup głosek lub sylab skracanych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wchodzących w skład formacji kilkuwyrazowej.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DE2">
        <w:rPr>
          <w:rFonts w:ascii="Times New Roman" w:hAnsi="Times New Roman" w:cs="Times New Roman"/>
          <w:b/>
          <w:sz w:val="24"/>
          <w:szCs w:val="24"/>
        </w:rPr>
        <w:t>18</w:t>
      </w:r>
      <w:r w:rsidR="009E4539" w:rsidRPr="00E81DE2">
        <w:rPr>
          <w:rFonts w:ascii="Times New Roman" w:hAnsi="Times New Roman" w:cs="Times New Roman"/>
          <w:b/>
          <w:sz w:val="24"/>
          <w:szCs w:val="24"/>
        </w:rPr>
        <w:t>. W redagowanym piśmie należy się wystrzegać: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a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skrótowców,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b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wyrażeń potocznych,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c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wyrażeń oficjalnych,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d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skrótów.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DE2">
        <w:rPr>
          <w:rFonts w:ascii="Times New Roman" w:hAnsi="Times New Roman" w:cs="Times New Roman"/>
          <w:b/>
          <w:sz w:val="24"/>
          <w:szCs w:val="24"/>
        </w:rPr>
        <w:t>19</w:t>
      </w:r>
      <w:r w:rsidR="009E4539" w:rsidRPr="00E81DE2">
        <w:rPr>
          <w:rFonts w:ascii="Times New Roman" w:hAnsi="Times New Roman" w:cs="Times New Roman"/>
          <w:b/>
          <w:sz w:val="24"/>
          <w:szCs w:val="24"/>
        </w:rPr>
        <w:t>. W systemie kancelaryjnym wyróżniamy: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a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system kopertowy,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b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system dziennikowy,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c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system fakturowy,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d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system korespondencyjny.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DE2">
        <w:rPr>
          <w:rFonts w:ascii="Times New Roman" w:hAnsi="Times New Roman" w:cs="Times New Roman"/>
          <w:b/>
          <w:sz w:val="24"/>
          <w:szCs w:val="24"/>
        </w:rPr>
        <w:t>20</w:t>
      </w:r>
      <w:r w:rsidR="009E4539" w:rsidRPr="00E81DE2">
        <w:rPr>
          <w:rFonts w:ascii="Times New Roman" w:hAnsi="Times New Roman" w:cs="Times New Roman"/>
          <w:b/>
          <w:sz w:val="24"/>
          <w:szCs w:val="24"/>
        </w:rPr>
        <w:t xml:space="preserve">. W systemie </w:t>
      </w:r>
      <w:proofErr w:type="spellStart"/>
      <w:r w:rsidR="009E4539" w:rsidRPr="00E81DE2">
        <w:rPr>
          <w:rFonts w:ascii="Times New Roman" w:hAnsi="Times New Roman" w:cs="Times New Roman"/>
          <w:b/>
          <w:sz w:val="24"/>
          <w:szCs w:val="24"/>
        </w:rPr>
        <w:t>bezdziennikowym</w:t>
      </w:r>
      <w:proofErr w:type="spellEnd"/>
      <w:r w:rsidR="009E4539" w:rsidRPr="00E81DE2">
        <w:rPr>
          <w:rFonts w:ascii="Times New Roman" w:hAnsi="Times New Roman" w:cs="Times New Roman"/>
          <w:b/>
          <w:sz w:val="24"/>
          <w:szCs w:val="24"/>
        </w:rPr>
        <w:t>: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a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korespondencja odnotowana jest w specjalnym zeszycie,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b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korespondencja nie jest wcale odnotowana,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c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pisma rejestrowane są na druku „spis spraw”,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d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odnotowuje się tylko niektóre pisma.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DE2">
        <w:rPr>
          <w:rFonts w:ascii="Times New Roman" w:hAnsi="Times New Roman" w:cs="Times New Roman"/>
          <w:b/>
          <w:sz w:val="24"/>
          <w:szCs w:val="24"/>
        </w:rPr>
        <w:t>21</w:t>
      </w:r>
      <w:r w:rsidR="009E4539" w:rsidRPr="00E81DE2">
        <w:rPr>
          <w:rFonts w:ascii="Times New Roman" w:hAnsi="Times New Roman" w:cs="Times New Roman"/>
          <w:b/>
          <w:sz w:val="24"/>
          <w:szCs w:val="24"/>
        </w:rPr>
        <w:t>. Standaryzacja pism: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nie wpływa na korespondencję,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b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ujednolica gromadzenie pism,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c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pomaga w prowadzeniu korespondencji,</w:t>
      </w:r>
    </w:p>
    <w:p w:rsidR="009E4539" w:rsidRPr="00E81DE2" w:rsidRDefault="009E4539" w:rsidP="009E4539">
      <w:pPr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d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dotyczy tylko niektórych pism.</w:t>
      </w: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DE2">
        <w:rPr>
          <w:rFonts w:ascii="Times New Roman" w:hAnsi="Times New Roman" w:cs="Times New Roman"/>
          <w:b/>
          <w:sz w:val="24"/>
          <w:szCs w:val="24"/>
        </w:rPr>
        <w:t>22</w:t>
      </w:r>
      <w:r w:rsidR="009E4539" w:rsidRPr="00E81DE2">
        <w:rPr>
          <w:rFonts w:ascii="Times New Roman" w:hAnsi="Times New Roman" w:cs="Times New Roman"/>
          <w:b/>
          <w:sz w:val="24"/>
          <w:szCs w:val="24"/>
        </w:rPr>
        <w:t>. Instrukcja kancelaryjna nie obejmuje: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a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przepisów dotyczących trybu postępowania z pismami i aktami,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b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postępowania w przypadkach szczegółowych,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c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regulaminu pracowni,</w:t>
      </w:r>
    </w:p>
    <w:p w:rsidR="009E4539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d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dopuszczalnych form załatwienia sprawy</w:t>
      </w:r>
    </w:p>
    <w:p w:rsidR="00E81DE2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DE2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9E4539" w:rsidRPr="00E81DE2">
        <w:rPr>
          <w:rFonts w:ascii="Times New Roman" w:hAnsi="Times New Roman" w:cs="Times New Roman"/>
          <w:b/>
          <w:sz w:val="24"/>
          <w:szCs w:val="24"/>
        </w:rPr>
        <w:t>System bezdziennikowy: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a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przyjmuje pisma wpływające nie rejestrując ich,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b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rejestruje pisma wpływające w dzienniku kancelaryjnym,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c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pisma muszą w tym systemie w odpowiednim terminie wpłynąć do danej komórki,</w:t>
      </w:r>
    </w:p>
    <w:p w:rsidR="009E4539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d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jest zawiły i skomplikowany.</w:t>
      </w:r>
    </w:p>
    <w:p w:rsidR="0042329C" w:rsidRPr="00E81DE2" w:rsidRDefault="0042329C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DE2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9E4539" w:rsidRPr="00E81DE2">
        <w:rPr>
          <w:rFonts w:ascii="Times New Roman" w:hAnsi="Times New Roman" w:cs="Times New Roman"/>
          <w:b/>
          <w:sz w:val="24"/>
          <w:szCs w:val="24"/>
        </w:rPr>
        <w:t>Dobrze sformułowane pismo powinno być: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a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krótkie,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b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zrozumiałe i przejrzyste,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c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zawierające dużo skrótów,</w:t>
      </w:r>
    </w:p>
    <w:p w:rsidR="009E4539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d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wszystkie odpowiedzi są poprawne</w:t>
      </w:r>
    </w:p>
    <w:p w:rsidR="0042329C" w:rsidRPr="00E81DE2" w:rsidRDefault="0042329C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39" w:rsidRPr="00E81DE2" w:rsidRDefault="00E81DE2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DE2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9E4539" w:rsidRPr="00E81DE2">
        <w:rPr>
          <w:rFonts w:ascii="Times New Roman" w:hAnsi="Times New Roman" w:cs="Times New Roman"/>
          <w:b/>
          <w:sz w:val="24"/>
          <w:szCs w:val="24"/>
        </w:rPr>
        <w:t>W jakim celu archiwizuje się dokumenty biurowe: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a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ponieważ nie ma co firma zrobić z dokumentami i musi je archiwizować,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b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dokumenty mają obowiązek (niektóre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być przetrzymywane nawet 50 lat,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c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ponieważ firmy często potrzebują informacji statystycznych i dlatego wracają do</w:t>
      </w:r>
    </w:p>
    <w:p w:rsidR="009E4539" w:rsidRPr="00E81DE2" w:rsidRDefault="009E4539" w:rsidP="009E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minionych lat,</w:t>
      </w:r>
    </w:p>
    <w:p w:rsidR="009E4539" w:rsidRPr="00E81DE2" w:rsidRDefault="009E4539" w:rsidP="009E4539">
      <w:pPr>
        <w:rPr>
          <w:rFonts w:ascii="Times New Roman" w:hAnsi="Times New Roman" w:cs="Times New Roman"/>
          <w:sz w:val="24"/>
          <w:szCs w:val="24"/>
        </w:rPr>
      </w:pPr>
      <w:r w:rsidRPr="00E81DE2">
        <w:rPr>
          <w:rFonts w:ascii="Times New Roman" w:hAnsi="Times New Roman" w:cs="Times New Roman"/>
          <w:sz w:val="24"/>
          <w:szCs w:val="24"/>
        </w:rPr>
        <w:t>d</w:t>
      </w:r>
      <w:r w:rsidR="00E81DE2">
        <w:rPr>
          <w:rFonts w:ascii="Times New Roman" w:hAnsi="Times New Roman" w:cs="Times New Roman"/>
          <w:sz w:val="24"/>
          <w:szCs w:val="24"/>
        </w:rPr>
        <w:t>.</w:t>
      </w:r>
      <w:r w:rsidRPr="00E81DE2">
        <w:rPr>
          <w:rFonts w:ascii="Times New Roman" w:hAnsi="Times New Roman" w:cs="Times New Roman"/>
          <w:sz w:val="24"/>
          <w:szCs w:val="24"/>
        </w:rPr>
        <w:t xml:space="preserve"> dokumenty muszą być przetrzymywane dla kontroli jednostki.</w:t>
      </w:r>
    </w:p>
    <w:sectPr w:rsidR="009E4539" w:rsidRPr="00E8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39"/>
    <w:rsid w:val="0042329C"/>
    <w:rsid w:val="008B4D70"/>
    <w:rsid w:val="009E4539"/>
    <w:rsid w:val="00A17C34"/>
    <w:rsid w:val="00B009E9"/>
    <w:rsid w:val="00E8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AFCD1-36F0-40EA-A51D-BE16DCE3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3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llendorf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Follendorf</dc:creator>
  <cp:keywords/>
  <dc:description/>
  <cp:lastModifiedBy>Beata Follendorf</cp:lastModifiedBy>
  <cp:revision>2</cp:revision>
  <dcterms:created xsi:type="dcterms:W3CDTF">2020-06-05T20:15:00Z</dcterms:created>
  <dcterms:modified xsi:type="dcterms:W3CDTF">2020-06-05T22:01:00Z</dcterms:modified>
</cp:coreProperties>
</file>